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AB" w:rsidRPr="006924DB" w:rsidRDefault="006924DB">
      <w:pPr>
        <w:spacing w:line="285" w:lineRule="auto"/>
        <w:rPr>
          <w:rFonts w:ascii="Arial"/>
          <w:sz w:val="16"/>
          <w:lang w:val="da-DK"/>
        </w:rPr>
        <w:sectPr w:rsidR="001217AB" w:rsidRPr="006924DB" w:rsidSect="006924DB">
          <w:type w:val="continuous"/>
          <w:pgSz w:w="8400" w:h="11910"/>
          <w:pgMar w:top="720" w:right="720" w:bottom="720" w:left="720" w:header="708" w:footer="708" w:gutter="0"/>
          <w:cols w:space="708"/>
          <w:docGrid w:linePitch="299"/>
        </w:sectPr>
      </w:pPr>
      <w:bookmarkStart w:id="0" w:name="_GoBack"/>
      <w:bookmarkEnd w:id="0"/>
      <w:r>
        <w:rPr>
          <w:rFonts w:ascii="Arial"/>
          <w:noProof/>
          <w:sz w:val="16"/>
          <w:lang w:val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-483235</wp:posOffset>
            </wp:positionH>
            <wp:positionV relativeFrom="margin">
              <wp:posOffset>-537210</wp:posOffset>
            </wp:positionV>
            <wp:extent cx="5374005" cy="7632065"/>
            <wp:effectExtent l="0" t="0" r="0" b="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jledningssynet-A5-grafik-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AB" w:rsidRPr="006924DB" w:rsidRDefault="00AA6AFE">
      <w:pPr>
        <w:spacing w:before="66"/>
        <w:ind w:left="643"/>
        <w:rPr>
          <w:b/>
          <w:sz w:val="34"/>
          <w:lang w:val="da-DK"/>
        </w:rPr>
      </w:pPr>
      <w:r w:rsidRPr="006924DB">
        <w:rPr>
          <w:b/>
          <w:color w:val="231F20"/>
          <w:sz w:val="34"/>
          <w:lang w:val="da-DK"/>
        </w:rPr>
        <w:lastRenderedPageBreak/>
        <w:t>Efterskolernes vejledningssyn</w:t>
      </w:r>
    </w:p>
    <w:p w:rsidR="001217AB" w:rsidRDefault="00AA6AFE">
      <w:pPr>
        <w:pStyle w:val="Overskrift2"/>
        <w:spacing w:before="342"/>
      </w:pPr>
      <w:proofErr w:type="spellStart"/>
      <w:r>
        <w:rPr>
          <w:color w:val="231F20"/>
        </w:rPr>
        <w:t>Værdier</w:t>
      </w:r>
      <w:proofErr w:type="spellEnd"/>
    </w:p>
    <w:p w:rsidR="001217AB" w:rsidRPr="006924DB" w:rsidRDefault="00AA6AFE">
      <w:pPr>
        <w:pStyle w:val="Listeafsnit"/>
        <w:numPr>
          <w:ilvl w:val="0"/>
          <w:numId w:val="1"/>
        </w:numPr>
        <w:tabs>
          <w:tab w:val="left" w:pos="984"/>
        </w:tabs>
        <w:ind w:right="898"/>
        <w:rPr>
          <w:sz w:val="20"/>
          <w:lang w:val="da-DK"/>
        </w:rPr>
      </w:pPr>
      <w:r w:rsidRPr="006924DB">
        <w:rPr>
          <w:color w:val="231F20"/>
          <w:sz w:val="20"/>
          <w:lang w:val="da-DK"/>
        </w:rPr>
        <w:t xml:space="preserve">Vejledning indgår som en integreret dimension i efterskolens </w:t>
      </w:r>
      <w:r w:rsidRPr="006924DB">
        <w:rPr>
          <w:color w:val="231F20"/>
          <w:spacing w:val="-4"/>
          <w:sz w:val="20"/>
          <w:lang w:val="da-DK"/>
        </w:rPr>
        <w:t xml:space="preserve">ar- </w:t>
      </w:r>
      <w:proofErr w:type="spellStart"/>
      <w:r w:rsidRPr="006924DB">
        <w:rPr>
          <w:color w:val="231F20"/>
          <w:sz w:val="20"/>
          <w:lang w:val="da-DK"/>
        </w:rPr>
        <w:t>bejde</w:t>
      </w:r>
      <w:proofErr w:type="spellEnd"/>
      <w:r w:rsidRPr="006924DB">
        <w:rPr>
          <w:color w:val="231F20"/>
          <w:sz w:val="20"/>
          <w:lang w:val="da-DK"/>
        </w:rPr>
        <w:t xml:space="preserve"> med at danne og uddanne unge til at tage ansvar for </w:t>
      </w:r>
      <w:r w:rsidRPr="006924DB">
        <w:rPr>
          <w:color w:val="231F20"/>
          <w:spacing w:val="-5"/>
          <w:sz w:val="20"/>
          <w:lang w:val="da-DK"/>
        </w:rPr>
        <w:t xml:space="preserve">eget </w:t>
      </w:r>
      <w:r w:rsidRPr="006924DB">
        <w:rPr>
          <w:color w:val="231F20"/>
          <w:sz w:val="20"/>
          <w:lang w:val="da-DK"/>
        </w:rPr>
        <w:t>liv i fællesskab med andre og understøtter den enkelte skoles værdigrundlag.</w:t>
      </w:r>
    </w:p>
    <w:p w:rsidR="001217AB" w:rsidRPr="006924DB" w:rsidRDefault="00AA6AFE">
      <w:pPr>
        <w:pStyle w:val="Listeafsnit"/>
        <w:numPr>
          <w:ilvl w:val="0"/>
          <w:numId w:val="1"/>
        </w:numPr>
        <w:tabs>
          <w:tab w:val="left" w:pos="984"/>
        </w:tabs>
        <w:spacing w:before="176"/>
        <w:ind w:right="850"/>
        <w:rPr>
          <w:sz w:val="20"/>
          <w:lang w:val="da-DK"/>
        </w:rPr>
      </w:pPr>
      <w:r w:rsidRPr="006924DB">
        <w:rPr>
          <w:color w:val="231F20"/>
          <w:sz w:val="20"/>
          <w:lang w:val="da-DK"/>
        </w:rPr>
        <w:t xml:space="preserve">Vejledning i efterskolen tager udgangspunkt i individet og er en proces, der har til formål at gøre alle unge livsduelige, </w:t>
      </w:r>
      <w:proofErr w:type="spellStart"/>
      <w:r w:rsidRPr="006924DB">
        <w:rPr>
          <w:color w:val="231F20"/>
          <w:spacing w:val="-3"/>
          <w:sz w:val="20"/>
          <w:lang w:val="da-DK"/>
        </w:rPr>
        <w:t>uddannel</w:t>
      </w:r>
      <w:proofErr w:type="spellEnd"/>
      <w:r w:rsidRPr="006924DB">
        <w:rPr>
          <w:color w:val="231F20"/>
          <w:spacing w:val="-3"/>
          <w:sz w:val="20"/>
          <w:lang w:val="da-DK"/>
        </w:rPr>
        <w:t xml:space="preserve">- </w:t>
      </w:r>
      <w:proofErr w:type="spellStart"/>
      <w:r w:rsidRPr="006924DB">
        <w:rPr>
          <w:color w:val="231F20"/>
          <w:sz w:val="20"/>
          <w:lang w:val="da-DK"/>
        </w:rPr>
        <w:t>sesparate</w:t>
      </w:r>
      <w:proofErr w:type="spellEnd"/>
      <w:r w:rsidRPr="006924DB">
        <w:rPr>
          <w:color w:val="231F20"/>
          <w:sz w:val="20"/>
          <w:lang w:val="da-DK"/>
        </w:rPr>
        <w:t xml:space="preserve"> og i stand til at træffe kompetente </w:t>
      </w:r>
      <w:r w:rsidRPr="006924DB">
        <w:rPr>
          <w:color w:val="231F20"/>
          <w:sz w:val="20"/>
          <w:lang w:val="da-DK"/>
        </w:rPr>
        <w:t>valg for</w:t>
      </w:r>
      <w:r w:rsidRPr="006924DB">
        <w:rPr>
          <w:color w:val="231F20"/>
          <w:spacing w:val="-6"/>
          <w:sz w:val="20"/>
          <w:lang w:val="da-DK"/>
        </w:rPr>
        <w:t xml:space="preserve"> </w:t>
      </w:r>
      <w:r w:rsidRPr="006924DB">
        <w:rPr>
          <w:color w:val="231F20"/>
          <w:sz w:val="20"/>
          <w:lang w:val="da-DK"/>
        </w:rPr>
        <w:t>fremtiden.</w:t>
      </w:r>
    </w:p>
    <w:p w:rsidR="001217AB" w:rsidRPr="006924DB" w:rsidRDefault="001217AB">
      <w:pPr>
        <w:pStyle w:val="Brdtekst"/>
        <w:spacing w:before="9"/>
        <w:rPr>
          <w:sz w:val="26"/>
          <w:lang w:val="da-DK"/>
        </w:rPr>
      </w:pPr>
    </w:p>
    <w:p w:rsidR="001217AB" w:rsidRDefault="00AA6AFE">
      <w:pPr>
        <w:pStyle w:val="Overskrift2"/>
      </w:pPr>
      <w:proofErr w:type="spellStart"/>
      <w:r>
        <w:rPr>
          <w:color w:val="231F20"/>
        </w:rPr>
        <w:t>Formål</w:t>
      </w:r>
      <w:proofErr w:type="spellEnd"/>
    </w:p>
    <w:p w:rsidR="001217AB" w:rsidRPr="006924DB" w:rsidRDefault="00AA6AFE">
      <w:pPr>
        <w:pStyle w:val="Listeafsnit"/>
        <w:numPr>
          <w:ilvl w:val="0"/>
          <w:numId w:val="1"/>
        </w:numPr>
        <w:tabs>
          <w:tab w:val="left" w:pos="984"/>
        </w:tabs>
        <w:ind w:right="872"/>
        <w:rPr>
          <w:sz w:val="20"/>
          <w:lang w:val="da-DK"/>
        </w:rPr>
      </w:pPr>
      <w:r w:rsidRPr="006924DB">
        <w:rPr>
          <w:color w:val="231F20"/>
          <w:sz w:val="20"/>
          <w:lang w:val="da-DK"/>
        </w:rPr>
        <w:t xml:space="preserve">Vejledningsprocessen skaber muligheder </w:t>
      </w:r>
      <w:r w:rsidRPr="006924DB">
        <w:rPr>
          <w:color w:val="231F20"/>
          <w:spacing w:val="-5"/>
          <w:sz w:val="20"/>
          <w:lang w:val="da-DK"/>
        </w:rPr>
        <w:t xml:space="preserve">for, </w:t>
      </w:r>
      <w:r w:rsidRPr="006924DB">
        <w:rPr>
          <w:color w:val="231F20"/>
          <w:sz w:val="20"/>
          <w:lang w:val="da-DK"/>
        </w:rPr>
        <w:t xml:space="preserve">at unge udvikler </w:t>
      </w:r>
      <w:r w:rsidRPr="006924DB">
        <w:rPr>
          <w:color w:val="231F20"/>
          <w:spacing w:val="-4"/>
          <w:sz w:val="20"/>
          <w:lang w:val="da-DK"/>
        </w:rPr>
        <w:t xml:space="preserve">evner, </w:t>
      </w:r>
      <w:r w:rsidRPr="006924DB">
        <w:rPr>
          <w:color w:val="231F20"/>
          <w:sz w:val="20"/>
          <w:lang w:val="da-DK"/>
        </w:rPr>
        <w:t xml:space="preserve">kompetencer og holdninger og bliver bevidste om </w:t>
      </w:r>
      <w:r w:rsidRPr="006924DB">
        <w:rPr>
          <w:color w:val="231F20"/>
          <w:spacing w:val="-3"/>
          <w:sz w:val="20"/>
          <w:lang w:val="da-DK"/>
        </w:rPr>
        <w:t xml:space="preserve">forhold </w:t>
      </w:r>
      <w:r w:rsidRPr="006924DB">
        <w:rPr>
          <w:color w:val="231F20"/>
          <w:sz w:val="20"/>
          <w:lang w:val="da-DK"/>
        </w:rPr>
        <w:t>af betydning for deres karrierevalg, så de styrkes i at tilrettelæg- ge livsforløb og træffe reflekterede</w:t>
      </w:r>
      <w:r w:rsidRPr="006924DB">
        <w:rPr>
          <w:color w:val="231F20"/>
          <w:spacing w:val="-2"/>
          <w:sz w:val="20"/>
          <w:lang w:val="da-DK"/>
        </w:rPr>
        <w:t xml:space="preserve"> </w:t>
      </w:r>
      <w:r w:rsidRPr="006924DB">
        <w:rPr>
          <w:color w:val="231F20"/>
          <w:sz w:val="20"/>
          <w:lang w:val="da-DK"/>
        </w:rPr>
        <w:t>valg.</w:t>
      </w:r>
    </w:p>
    <w:p w:rsidR="001217AB" w:rsidRPr="006924DB" w:rsidRDefault="00AA6AFE">
      <w:pPr>
        <w:pStyle w:val="Listeafsnit"/>
        <w:numPr>
          <w:ilvl w:val="0"/>
          <w:numId w:val="1"/>
        </w:numPr>
        <w:tabs>
          <w:tab w:val="left" w:pos="984"/>
        </w:tabs>
        <w:spacing w:before="175"/>
        <w:ind w:right="934"/>
        <w:rPr>
          <w:sz w:val="20"/>
          <w:lang w:val="da-DK"/>
        </w:rPr>
      </w:pPr>
      <w:r w:rsidRPr="006924DB">
        <w:rPr>
          <w:color w:val="231F20"/>
          <w:sz w:val="20"/>
          <w:lang w:val="da-DK"/>
        </w:rPr>
        <w:t xml:space="preserve">Vejledningsprocessen styrker unge i deres overgange til og </w:t>
      </w:r>
      <w:r w:rsidRPr="006924DB">
        <w:rPr>
          <w:color w:val="231F20"/>
          <w:spacing w:val="-6"/>
          <w:sz w:val="20"/>
          <w:lang w:val="da-DK"/>
        </w:rPr>
        <w:t xml:space="preserve">del- </w:t>
      </w:r>
      <w:proofErr w:type="spellStart"/>
      <w:r w:rsidRPr="006924DB">
        <w:rPr>
          <w:color w:val="231F20"/>
          <w:sz w:val="20"/>
          <w:lang w:val="da-DK"/>
        </w:rPr>
        <w:t>tagelse</w:t>
      </w:r>
      <w:proofErr w:type="spellEnd"/>
      <w:r w:rsidRPr="006924DB">
        <w:rPr>
          <w:color w:val="231F20"/>
          <w:sz w:val="20"/>
          <w:lang w:val="da-DK"/>
        </w:rPr>
        <w:t xml:space="preserve"> i ungdomsuddannelse og</w:t>
      </w:r>
      <w:r w:rsidRPr="006924DB">
        <w:rPr>
          <w:color w:val="231F20"/>
          <w:spacing w:val="-2"/>
          <w:sz w:val="20"/>
          <w:lang w:val="da-DK"/>
        </w:rPr>
        <w:t xml:space="preserve"> </w:t>
      </w:r>
      <w:r w:rsidRPr="006924DB">
        <w:rPr>
          <w:color w:val="231F20"/>
          <w:sz w:val="20"/>
          <w:lang w:val="da-DK"/>
        </w:rPr>
        <w:t>arbejdsliv.</w:t>
      </w:r>
    </w:p>
    <w:p w:rsidR="001217AB" w:rsidRPr="006924DB" w:rsidRDefault="001217AB">
      <w:pPr>
        <w:pStyle w:val="Brdtekst"/>
        <w:spacing w:before="8"/>
        <w:rPr>
          <w:sz w:val="26"/>
          <w:lang w:val="da-DK"/>
        </w:rPr>
      </w:pPr>
    </w:p>
    <w:p w:rsidR="001217AB" w:rsidRDefault="00AA6AFE">
      <w:pPr>
        <w:pStyle w:val="Overskrift2"/>
      </w:pPr>
      <w:r>
        <w:rPr>
          <w:color w:val="231F20"/>
        </w:rPr>
        <w:t xml:space="preserve">Rum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</w:rPr>
        <w:t xml:space="preserve"> rammer</w:t>
      </w:r>
    </w:p>
    <w:p w:rsidR="001217AB" w:rsidRPr="006924DB" w:rsidRDefault="00AA6AFE">
      <w:pPr>
        <w:pStyle w:val="Listeafsnit"/>
        <w:numPr>
          <w:ilvl w:val="0"/>
          <w:numId w:val="1"/>
        </w:numPr>
        <w:tabs>
          <w:tab w:val="left" w:pos="984"/>
        </w:tabs>
        <w:ind w:right="909"/>
        <w:rPr>
          <w:sz w:val="20"/>
          <w:lang w:val="da-DK"/>
        </w:rPr>
      </w:pPr>
      <w:r w:rsidRPr="006924DB">
        <w:rPr>
          <w:color w:val="231F20"/>
          <w:sz w:val="20"/>
          <w:lang w:val="da-DK"/>
        </w:rPr>
        <w:t xml:space="preserve">Vejledningen udnytter </w:t>
      </w:r>
      <w:r w:rsidRPr="006924DB">
        <w:rPr>
          <w:color w:val="231F20"/>
          <w:sz w:val="20"/>
          <w:lang w:val="da-DK"/>
        </w:rPr>
        <w:t>efterskolens særlige rum med mulighed for alsidige, differentierede og meningsfulde vejledningstilgange og</w:t>
      </w:r>
      <w:r w:rsidRPr="006924DB">
        <w:rPr>
          <w:color w:val="231F20"/>
          <w:spacing w:val="-1"/>
          <w:sz w:val="20"/>
          <w:lang w:val="da-DK"/>
        </w:rPr>
        <w:t xml:space="preserve"> </w:t>
      </w:r>
      <w:r w:rsidRPr="006924DB">
        <w:rPr>
          <w:color w:val="231F20"/>
          <w:sz w:val="20"/>
          <w:lang w:val="da-DK"/>
        </w:rPr>
        <w:t>aktiviteter.</w:t>
      </w:r>
    </w:p>
    <w:p w:rsidR="001217AB" w:rsidRPr="006924DB" w:rsidRDefault="00AA6AFE">
      <w:pPr>
        <w:pStyle w:val="Listeafsnit"/>
        <w:numPr>
          <w:ilvl w:val="0"/>
          <w:numId w:val="1"/>
        </w:numPr>
        <w:tabs>
          <w:tab w:val="left" w:pos="1040"/>
        </w:tabs>
        <w:spacing w:before="174"/>
        <w:ind w:left="1039" w:hanging="283"/>
        <w:rPr>
          <w:sz w:val="20"/>
          <w:lang w:val="da-DK"/>
        </w:rPr>
      </w:pPr>
      <w:r w:rsidRPr="006924DB">
        <w:rPr>
          <w:color w:val="231F20"/>
          <w:sz w:val="20"/>
          <w:lang w:val="da-DK"/>
        </w:rPr>
        <w:t>Efterskolens fællesskaber er et væsentligt rum for vejledningen.</w:t>
      </w:r>
    </w:p>
    <w:p w:rsidR="001217AB" w:rsidRPr="006924DB" w:rsidRDefault="001217AB">
      <w:pPr>
        <w:pStyle w:val="Brdtekst"/>
        <w:spacing w:before="6"/>
        <w:rPr>
          <w:sz w:val="26"/>
          <w:lang w:val="da-DK"/>
        </w:rPr>
      </w:pPr>
    </w:p>
    <w:p w:rsidR="001217AB" w:rsidRDefault="00AA6AFE">
      <w:pPr>
        <w:pStyle w:val="Overskrift2"/>
        <w:spacing w:before="1"/>
      </w:pPr>
      <w:proofErr w:type="spellStart"/>
      <w:r>
        <w:rPr>
          <w:color w:val="231F20"/>
        </w:rPr>
        <w:t>Samarbejde</w:t>
      </w:r>
      <w:proofErr w:type="spellEnd"/>
    </w:p>
    <w:p w:rsidR="001217AB" w:rsidRPr="006924DB" w:rsidRDefault="00AA6AFE">
      <w:pPr>
        <w:pStyle w:val="Listeafsnit"/>
        <w:numPr>
          <w:ilvl w:val="0"/>
          <w:numId w:val="1"/>
        </w:numPr>
        <w:tabs>
          <w:tab w:val="left" w:pos="984"/>
        </w:tabs>
        <w:spacing w:before="109"/>
        <w:ind w:right="1276"/>
        <w:rPr>
          <w:sz w:val="20"/>
          <w:lang w:val="da-DK"/>
        </w:rPr>
      </w:pPr>
      <w:r w:rsidRPr="006924DB">
        <w:rPr>
          <w:color w:val="231F20"/>
          <w:sz w:val="20"/>
          <w:lang w:val="da-DK"/>
        </w:rPr>
        <w:t xml:space="preserve">Vejledningen foregår i samspil med de unge, deres </w:t>
      </w:r>
      <w:r w:rsidRPr="006924DB">
        <w:rPr>
          <w:color w:val="231F20"/>
          <w:spacing w:val="-3"/>
          <w:sz w:val="20"/>
          <w:lang w:val="da-DK"/>
        </w:rPr>
        <w:t xml:space="preserve">forældre </w:t>
      </w:r>
      <w:r w:rsidRPr="006924DB">
        <w:rPr>
          <w:color w:val="231F20"/>
          <w:sz w:val="20"/>
          <w:lang w:val="da-DK"/>
        </w:rPr>
        <w:t>og eksterne</w:t>
      </w:r>
      <w:r w:rsidRPr="006924DB">
        <w:rPr>
          <w:color w:val="231F20"/>
          <w:spacing w:val="-1"/>
          <w:sz w:val="20"/>
          <w:lang w:val="da-DK"/>
        </w:rPr>
        <w:t xml:space="preserve"> </w:t>
      </w:r>
      <w:r w:rsidRPr="006924DB">
        <w:rPr>
          <w:color w:val="231F20"/>
          <w:sz w:val="20"/>
          <w:lang w:val="da-DK"/>
        </w:rPr>
        <w:t>samarbejdspartnere.</w:t>
      </w:r>
    </w:p>
    <w:p w:rsidR="001217AB" w:rsidRPr="006924DB" w:rsidRDefault="001217AB">
      <w:pPr>
        <w:pStyle w:val="Brdtekst"/>
        <w:spacing w:before="11"/>
        <w:rPr>
          <w:sz w:val="21"/>
          <w:lang w:val="da-DK"/>
        </w:rPr>
      </w:pPr>
    </w:p>
    <w:p w:rsidR="001217AB" w:rsidRPr="006924DB" w:rsidRDefault="00AA6AFE">
      <w:pPr>
        <w:pStyle w:val="Overskrift2"/>
        <w:rPr>
          <w:lang w:val="da-DK"/>
        </w:rPr>
      </w:pPr>
      <w:r w:rsidRPr="006924DB">
        <w:rPr>
          <w:color w:val="231F20"/>
          <w:lang w:val="da-DK"/>
        </w:rPr>
        <w:t>Etik</w:t>
      </w:r>
    </w:p>
    <w:p w:rsidR="001217AB" w:rsidRPr="006924DB" w:rsidRDefault="00AA6AFE">
      <w:pPr>
        <w:pStyle w:val="Brdtekst"/>
        <w:spacing w:before="110"/>
        <w:ind w:left="870" w:right="1241" w:hanging="227"/>
        <w:rPr>
          <w:lang w:val="da-DK"/>
        </w:rPr>
      </w:pPr>
      <w:r w:rsidRPr="006924DB">
        <w:rPr>
          <w:color w:val="231F20"/>
          <w:lang w:val="da-DK"/>
        </w:rPr>
        <w:t>– Vejledningen tager afsæt i etiske principper om tillid, respekt, ligeværdighed, uafhængighed og åbenhed i vejledningen.</w:t>
      </w:r>
    </w:p>
    <w:p w:rsidR="001217AB" w:rsidRPr="006924DB" w:rsidRDefault="001217AB">
      <w:pPr>
        <w:pStyle w:val="Brdtekst"/>
        <w:rPr>
          <w:lang w:val="da-DK"/>
        </w:rPr>
      </w:pPr>
    </w:p>
    <w:p w:rsidR="001217AB" w:rsidRPr="006924DB" w:rsidRDefault="001217AB">
      <w:pPr>
        <w:pStyle w:val="Brdtekst"/>
        <w:rPr>
          <w:lang w:val="da-DK"/>
        </w:rPr>
      </w:pPr>
    </w:p>
    <w:p w:rsidR="001217AB" w:rsidRPr="006924DB" w:rsidRDefault="00AA6AFE">
      <w:pPr>
        <w:pStyle w:val="Brdtekst"/>
        <w:spacing w:before="6"/>
        <w:rPr>
          <w:sz w:val="10"/>
          <w:lang w:val="da-DK"/>
        </w:rPr>
      </w:pPr>
      <w:r>
        <w:pict>
          <v:line id="_x0000_s1026" alt="" style="position:absolute;z-index:-251658240;mso-wrap-edited:f;mso-width-percent:0;mso-height-percent:0;mso-wrap-distance-left:0;mso-wrap-distance-right:0;mso-position-horizontal-relative:page;mso-width-percent:0;mso-height-percent:0" from="142.75pt,8.5pt" to="281.6pt,8.5pt" strokecolor="#231f20" strokeweight=".5pt">
            <w10:wrap type="topAndBottom" anchorx="page"/>
          </v:line>
        </w:pict>
      </w:r>
    </w:p>
    <w:p w:rsidR="001217AB" w:rsidRDefault="00AA6AFE">
      <w:pPr>
        <w:pStyle w:val="Brdtekst"/>
        <w:spacing w:before="147"/>
        <w:ind w:left="3121" w:right="2925"/>
        <w:jc w:val="center"/>
        <w:rPr>
          <w:rFonts w:ascii="HelveticaNeue-Medium"/>
        </w:rPr>
      </w:pPr>
      <w:r>
        <w:rPr>
          <w:rFonts w:ascii="HelveticaNeue-Medium"/>
          <w:color w:val="231F20"/>
        </w:rPr>
        <w:t>efterskolerne.dk</w:t>
      </w:r>
    </w:p>
    <w:sectPr w:rsidR="001217AB">
      <w:pgSz w:w="8400" w:h="11910"/>
      <w:pgMar w:top="780" w:right="4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altName w:val="HelveticaNeue-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5929"/>
    <w:multiLevelType w:val="hybridMultilevel"/>
    <w:tmpl w:val="97088EF0"/>
    <w:lvl w:ilvl="0" w:tplc="F4F87548">
      <w:numFmt w:val="bullet"/>
      <w:lvlText w:val="–"/>
      <w:lvlJc w:val="left"/>
      <w:pPr>
        <w:ind w:left="983" w:hanging="227"/>
      </w:pPr>
      <w:rPr>
        <w:rFonts w:ascii="Helvetica Neue" w:eastAsia="Helvetica Neue" w:hAnsi="Helvetica Neue" w:cs="Helvetica Neue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D4D81B08">
      <w:numFmt w:val="bullet"/>
      <w:lvlText w:val="•"/>
      <w:lvlJc w:val="left"/>
      <w:pPr>
        <w:ind w:left="1639" w:hanging="227"/>
      </w:pPr>
      <w:rPr>
        <w:rFonts w:hint="default"/>
        <w:lang w:val="en-GB" w:eastAsia="en-GB" w:bidi="en-GB"/>
      </w:rPr>
    </w:lvl>
    <w:lvl w:ilvl="2" w:tplc="5EAECD10">
      <w:numFmt w:val="bullet"/>
      <w:lvlText w:val="•"/>
      <w:lvlJc w:val="left"/>
      <w:pPr>
        <w:ind w:left="2298" w:hanging="227"/>
      </w:pPr>
      <w:rPr>
        <w:rFonts w:hint="default"/>
        <w:lang w:val="en-GB" w:eastAsia="en-GB" w:bidi="en-GB"/>
      </w:rPr>
    </w:lvl>
    <w:lvl w:ilvl="3" w:tplc="545CC604">
      <w:numFmt w:val="bullet"/>
      <w:lvlText w:val="•"/>
      <w:lvlJc w:val="left"/>
      <w:pPr>
        <w:ind w:left="2957" w:hanging="227"/>
      </w:pPr>
      <w:rPr>
        <w:rFonts w:hint="default"/>
        <w:lang w:val="en-GB" w:eastAsia="en-GB" w:bidi="en-GB"/>
      </w:rPr>
    </w:lvl>
    <w:lvl w:ilvl="4" w:tplc="0ECE3B5A">
      <w:numFmt w:val="bullet"/>
      <w:lvlText w:val="•"/>
      <w:lvlJc w:val="left"/>
      <w:pPr>
        <w:ind w:left="3616" w:hanging="227"/>
      </w:pPr>
      <w:rPr>
        <w:rFonts w:hint="default"/>
        <w:lang w:val="en-GB" w:eastAsia="en-GB" w:bidi="en-GB"/>
      </w:rPr>
    </w:lvl>
    <w:lvl w:ilvl="5" w:tplc="3FE47D0E">
      <w:numFmt w:val="bullet"/>
      <w:lvlText w:val="•"/>
      <w:lvlJc w:val="left"/>
      <w:pPr>
        <w:ind w:left="4275" w:hanging="227"/>
      </w:pPr>
      <w:rPr>
        <w:rFonts w:hint="default"/>
        <w:lang w:val="en-GB" w:eastAsia="en-GB" w:bidi="en-GB"/>
      </w:rPr>
    </w:lvl>
    <w:lvl w:ilvl="6" w:tplc="08445ED0">
      <w:numFmt w:val="bullet"/>
      <w:lvlText w:val="•"/>
      <w:lvlJc w:val="left"/>
      <w:pPr>
        <w:ind w:left="4934" w:hanging="227"/>
      </w:pPr>
      <w:rPr>
        <w:rFonts w:hint="default"/>
        <w:lang w:val="en-GB" w:eastAsia="en-GB" w:bidi="en-GB"/>
      </w:rPr>
    </w:lvl>
    <w:lvl w:ilvl="7" w:tplc="C516762E">
      <w:numFmt w:val="bullet"/>
      <w:lvlText w:val="•"/>
      <w:lvlJc w:val="left"/>
      <w:pPr>
        <w:ind w:left="5593" w:hanging="227"/>
      </w:pPr>
      <w:rPr>
        <w:rFonts w:hint="default"/>
        <w:lang w:val="en-GB" w:eastAsia="en-GB" w:bidi="en-GB"/>
      </w:rPr>
    </w:lvl>
    <w:lvl w:ilvl="8" w:tplc="610A3386">
      <w:numFmt w:val="bullet"/>
      <w:lvlText w:val="•"/>
      <w:lvlJc w:val="left"/>
      <w:pPr>
        <w:ind w:left="6252" w:hanging="22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AB"/>
    <w:rsid w:val="001217AB"/>
    <w:rsid w:val="006924DB"/>
    <w:rsid w:val="00A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0D1B0"/>
  <w15:docId w15:val="{D39477DA-B1CC-EF41-BEA3-949D17DB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 w:eastAsia="en-GB" w:bidi="en-GB"/>
    </w:rPr>
  </w:style>
  <w:style w:type="paragraph" w:styleId="Overskrift1">
    <w:name w:val="heading 1"/>
    <w:basedOn w:val="Normal"/>
    <w:uiPriority w:val="9"/>
    <w:qFormat/>
    <w:pPr>
      <w:spacing w:line="643" w:lineRule="exact"/>
      <w:ind w:left="4669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Overskrift2">
    <w:name w:val="heading 2"/>
    <w:basedOn w:val="Normal"/>
    <w:uiPriority w:val="9"/>
    <w:unhideWhenUsed/>
    <w:qFormat/>
    <w:pPr>
      <w:ind w:left="643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before="110"/>
      <w:ind w:left="983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FABA0C-A0F9-1F44-87D6-41288595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Birgit Basballe</cp:lastModifiedBy>
  <cp:revision>2</cp:revision>
  <dcterms:created xsi:type="dcterms:W3CDTF">2019-09-09T16:39:00Z</dcterms:created>
  <dcterms:modified xsi:type="dcterms:W3CDTF">2019-09-09T17:12:00Z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2019-09-09T00:00:00Z</vt:filetime>
  </property>
</Properties>
</file>